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24" w:rsidRPr="000F0824" w:rsidRDefault="000F0824" w:rsidP="000F0824">
      <w:pPr>
        <w:shd w:val="clear" w:color="auto" w:fill="FFFFFF"/>
        <w:spacing w:after="105" w:line="750" w:lineRule="atLeast"/>
        <w:jc w:val="both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  <w:lang w:eastAsia="pt-BR"/>
        </w:rPr>
      </w:pPr>
      <w:r w:rsidRPr="000F0824">
        <w:rPr>
          <w:rFonts w:ascii="Arial" w:eastAsia="Times New Roman" w:hAnsi="Arial" w:cs="Arial"/>
          <w:color w:val="111111"/>
          <w:kern w:val="36"/>
          <w:sz w:val="36"/>
          <w:szCs w:val="36"/>
          <w:lang w:eastAsia="pt-BR"/>
        </w:rPr>
        <w:t>Normas para execução de Emendas Especiais – Confira Regras e Prazos</w:t>
      </w:r>
    </w:p>
    <w:p w:rsidR="009D1A7E" w:rsidRDefault="009D1A7E"/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As normas para execução das emendas especiais de 2020 foram publicadas no Diário Oficial da União (DOU) desta segunda-feira, 22 de junho, por meio da </w:t>
      </w:r>
      <w:hyperlink r:id="rId4" w:tgtFrame="_blank" w:history="1">
        <w:r>
          <w:rPr>
            <w:rStyle w:val="Forte"/>
            <w:rFonts w:ascii="Verdana" w:hAnsi="Verdana"/>
            <w:color w:val="006DFF"/>
            <w:sz w:val="23"/>
            <w:szCs w:val="23"/>
          </w:rPr>
          <w:t>Portaria 252/2020</w:t>
        </w:r>
      </w:hyperlink>
      <w:r>
        <w:rPr>
          <w:rFonts w:ascii="Verdana" w:hAnsi="Verdana"/>
          <w:color w:val="222222"/>
          <w:sz w:val="23"/>
          <w:szCs w:val="23"/>
        </w:rPr>
        <w:t xml:space="preserve">, do Ministério da Economia e da Secretaria de Governo. O normativo reforça o que já havia sido estabelecido pela </w:t>
      </w:r>
      <w:r w:rsidRPr="00BD73E8">
        <w:rPr>
          <w:rFonts w:ascii="Verdana" w:hAnsi="Verdana"/>
          <w:b/>
          <w:color w:val="222222"/>
          <w:sz w:val="23"/>
          <w:szCs w:val="23"/>
        </w:rPr>
        <w:t>Emenda Constitucional 105/2020,</w:t>
      </w:r>
      <w:r>
        <w:rPr>
          <w:rFonts w:ascii="Verdana" w:hAnsi="Verdana"/>
          <w:color w:val="222222"/>
          <w:sz w:val="23"/>
          <w:szCs w:val="23"/>
        </w:rPr>
        <w:t xml:space="preserve"> referente à integração com o Sistema Integrado de Planejamento e Orçamento (</w:t>
      </w:r>
      <w:proofErr w:type="spellStart"/>
      <w:r>
        <w:rPr>
          <w:rFonts w:ascii="Verdana" w:hAnsi="Verdana"/>
          <w:color w:val="222222"/>
          <w:sz w:val="23"/>
          <w:szCs w:val="23"/>
        </w:rPr>
        <w:t>Siop</w:t>
      </w:r>
      <w:proofErr w:type="spellEnd"/>
      <w:r>
        <w:rPr>
          <w:rFonts w:ascii="Verdana" w:hAnsi="Verdana"/>
          <w:color w:val="222222"/>
          <w:sz w:val="23"/>
          <w:szCs w:val="23"/>
        </w:rPr>
        <w:t>), a Plataforma +Brasil e as ações de parlamentares.</w:t>
      </w:r>
    </w:p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Estados, Distrito Federal e Municípios deverão executar os valores – repassados diretamente ao Ente – </w:t>
      </w:r>
      <w:r w:rsidRPr="00BD73E8">
        <w:rPr>
          <w:rFonts w:ascii="Verdana" w:hAnsi="Verdana"/>
          <w:b/>
          <w:color w:val="222222"/>
          <w:sz w:val="23"/>
          <w:szCs w:val="23"/>
        </w:rPr>
        <w:t>na modalidade transferência especial.</w:t>
      </w:r>
      <w:r>
        <w:rPr>
          <w:rFonts w:ascii="Verdana" w:hAnsi="Verdana"/>
          <w:color w:val="222222"/>
          <w:sz w:val="23"/>
          <w:szCs w:val="23"/>
        </w:rPr>
        <w:t xml:space="preserve"> O montante deve ser aplicado conforme programação finalística da área de competência do Poder Executivo, não integrando a receita para fins de repartição e para o cálculo dos limites da despesa com pessoal ativo e inativo e de endividamento.</w:t>
      </w:r>
    </w:p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 w:rsidRPr="00BD73E8">
        <w:rPr>
          <w:rFonts w:ascii="Verdana" w:hAnsi="Verdana"/>
          <w:b/>
          <w:color w:val="FF0000"/>
          <w:sz w:val="23"/>
          <w:szCs w:val="23"/>
        </w:rPr>
        <w:t xml:space="preserve">Fica vedada </w:t>
      </w:r>
      <w:r>
        <w:rPr>
          <w:rFonts w:ascii="Verdana" w:hAnsi="Verdana"/>
          <w:color w:val="222222"/>
          <w:sz w:val="23"/>
          <w:szCs w:val="23"/>
        </w:rPr>
        <w:t xml:space="preserve">a aplicação dos recursos no pagamento de </w:t>
      </w:r>
      <w:r w:rsidRPr="00BD73E8">
        <w:rPr>
          <w:rFonts w:ascii="Verdana" w:hAnsi="Verdana"/>
          <w:color w:val="222222"/>
          <w:sz w:val="23"/>
          <w:szCs w:val="23"/>
          <w:u w:val="single"/>
        </w:rPr>
        <w:t>despesas com pessoal e encargos sociais relativas a ativos e inativos</w:t>
      </w:r>
      <w:r>
        <w:rPr>
          <w:rFonts w:ascii="Verdana" w:hAnsi="Verdana"/>
          <w:color w:val="222222"/>
          <w:sz w:val="23"/>
          <w:szCs w:val="23"/>
        </w:rPr>
        <w:t xml:space="preserve">, </w:t>
      </w:r>
      <w:r w:rsidRPr="00BD73E8">
        <w:rPr>
          <w:rFonts w:ascii="Verdana" w:hAnsi="Verdana"/>
          <w:color w:val="222222"/>
          <w:sz w:val="23"/>
          <w:szCs w:val="23"/>
          <w:u w:val="single"/>
        </w:rPr>
        <w:t>e com pensionistas;</w:t>
      </w:r>
      <w:r>
        <w:rPr>
          <w:rFonts w:ascii="Verdana" w:hAnsi="Verdana"/>
          <w:color w:val="222222"/>
          <w:sz w:val="23"/>
          <w:szCs w:val="23"/>
        </w:rPr>
        <w:t xml:space="preserve"> e </w:t>
      </w:r>
      <w:r w:rsidRPr="00BD73E8">
        <w:rPr>
          <w:rFonts w:ascii="Verdana" w:hAnsi="Verdana"/>
          <w:color w:val="222222"/>
          <w:sz w:val="23"/>
          <w:szCs w:val="23"/>
          <w:u w:val="single"/>
        </w:rPr>
        <w:t>encargos referentes ao serviço da dívida</w:t>
      </w:r>
      <w:r>
        <w:rPr>
          <w:rFonts w:ascii="Verdana" w:hAnsi="Verdana"/>
          <w:color w:val="222222"/>
          <w:sz w:val="23"/>
          <w:szCs w:val="23"/>
        </w:rPr>
        <w:t xml:space="preserve">. O parlamentar autor da emenda individual deverá indicar ou atualizar os beneficiários e a ordem de prioridade no módulo Emendas Individuais do </w:t>
      </w:r>
      <w:proofErr w:type="spellStart"/>
      <w:r>
        <w:rPr>
          <w:rFonts w:ascii="Verdana" w:hAnsi="Verdana"/>
          <w:color w:val="222222"/>
          <w:sz w:val="23"/>
          <w:szCs w:val="23"/>
        </w:rPr>
        <w:t>Siop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– atentando-se à destinação mínima obrigatória de 70% da quota para investimentos e inversões financeiras.</w:t>
      </w:r>
    </w:p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Orientações à gestão municipal</w:t>
      </w:r>
      <w:r>
        <w:rPr>
          <w:rFonts w:ascii="Verdana" w:hAnsi="Verdana"/>
          <w:color w:val="222222"/>
          <w:sz w:val="23"/>
          <w:szCs w:val="23"/>
        </w:rPr>
        <w:br/>
        <w:t>As informações serão divulgadas, para acesso público, na Plataforma +Brasil, que notificará o beneficiário da existência dos valores. Para esclarecer os gestores locais, a Confederação Nacional de Municípios (CNM) realizou um bate-papo – programa semanal transmitido ao vivo nas redes sociais – e elaborou um documento de </w:t>
      </w:r>
      <w:hyperlink r:id="rId5" w:tgtFrame="_blank" w:history="1">
        <w:r>
          <w:rPr>
            <w:rStyle w:val="Forte"/>
            <w:rFonts w:ascii="Verdana" w:hAnsi="Verdana"/>
            <w:color w:val="006DFF"/>
            <w:sz w:val="23"/>
            <w:szCs w:val="23"/>
          </w:rPr>
          <w:t>perguntas e respostas</w:t>
        </w:r>
      </w:hyperlink>
      <w:hyperlink r:id="rId6" w:history="1">
        <w:r>
          <w:rPr>
            <w:rStyle w:val="Hyperlink"/>
            <w:rFonts w:ascii="Verdana" w:hAnsi="Verdana"/>
            <w:color w:val="006DFF"/>
            <w:sz w:val="23"/>
            <w:szCs w:val="23"/>
            <w:u w:val="none"/>
          </w:rPr>
          <w:t>.</w:t>
        </w:r>
      </w:hyperlink>
    </w:p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A entidade destaca que, por se tratar de </w:t>
      </w:r>
      <w:r w:rsidRPr="00BD73E8">
        <w:rPr>
          <w:rFonts w:ascii="Verdana" w:hAnsi="Verdana"/>
          <w:b/>
          <w:color w:val="222222"/>
          <w:sz w:val="23"/>
          <w:szCs w:val="23"/>
        </w:rPr>
        <w:t>transferência voluntári</w:t>
      </w:r>
      <w:r>
        <w:rPr>
          <w:rFonts w:ascii="Verdana" w:hAnsi="Verdana"/>
          <w:color w:val="222222"/>
          <w:sz w:val="23"/>
          <w:szCs w:val="23"/>
        </w:rPr>
        <w:t xml:space="preserve">a, </w:t>
      </w:r>
      <w:r w:rsidRPr="00BD73E8">
        <w:rPr>
          <w:rFonts w:ascii="Verdana" w:hAnsi="Verdana"/>
          <w:b/>
          <w:color w:val="222222"/>
          <w:sz w:val="23"/>
          <w:szCs w:val="23"/>
        </w:rPr>
        <w:t>é obrigatório pregão eletrônico, inclusive nas emendas destinadas a área da saúde</w:t>
      </w:r>
      <w:r>
        <w:rPr>
          <w:rFonts w:ascii="Verdana" w:hAnsi="Verdana"/>
          <w:color w:val="222222"/>
          <w:sz w:val="23"/>
          <w:szCs w:val="23"/>
        </w:rPr>
        <w:t xml:space="preserve">. É de responsabilidade do Ente dar ciência e indicar o banco e a agência de relacionamento na Plataforma +Brasil para movimentação dos recursos. </w:t>
      </w:r>
      <w:r w:rsidRPr="00BD73E8">
        <w:rPr>
          <w:rFonts w:ascii="Verdana" w:hAnsi="Verdana"/>
          <w:b/>
          <w:color w:val="222222"/>
          <w:sz w:val="23"/>
          <w:szCs w:val="23"/>
        </w:rPr>
        <w:t>A Portaria 252/2020</w:t>
      </w:r>
      <w:r>
        <w:rPr>
          <w:rFonts w:ascii="Verdana" w:hAnsi="Verdana"/>
          <w:color w:val="222222"/>
          <w:sz w:val="23"/>
          <w:szCs w:val="23"/>
        </w:rPr>
        <w:t xml:space="preserve"> lista ainda os impedimentos de ordem técnica para a execução e as ações que devem ser tomadas para solucionar o problema.</w:t>
      </w:r>
    </w:p>
    <w:p w:rsidR="000F0824" w:rsidRPr="00BD73E8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b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Prazos</w:t>
      </w:r>
      <w:r>
        <w:rPr>
          <w:rFonts w:ascii="Verdana" w:hAnsi="Verdana"/>
          <w:color w:val="222222"/>
          <w:sz w:val="23"/>
          <w:szCs w:val="23"/>
        </w:rPr>
        <w:br/>
        <w:t xml:space="preserve">Na normativa, fica estabelecido ainda que a Secretaria do Tesouro Nacional realizará as transferências especiais </w:t>
      </w:r>
      <w:r w:rsidRPr="00BD73E8">
        <w:rPr>
          <w:rFonts w:ascii="Verdana" w:hAnsi="Verdana"/>
          <w:b/>
          <w:color w:val="222222"/>
          <w:sz w:val="23"/>
          <w:szCs w:val="23"/>
        </w:rPr>
        <w:t>na última sexta-feira de cada mês</w:t>
      </w:r>
      <w:r>
        <w:rPr>
          <w:rFonts w:ascii="Verdana" w:hAnsi="Verdana"/>
          <w:color w:val="222222"/>
          <w:sz w:val="23"/>
          <w:szCs w:val="23"/>
        </w:rPr>
        <w:t xml:space="preserve"> ou no dia útil anterior, sempre que as condições previstas para o repasse estiverem satisfeitas. Para dar mais </w:t>
      </w:r>
      <w:r w:rsidRPr="00BD73E8">
        <w:rPr>
          <w:rFonts w:ascii="Verdana" w:hAnsi="Verdana"/>
          <w:b/>
          <w:color w:val="222222"/>
          <w:sz w:val="23"/>
          <w:szCs w:val="23"/>
          <w:highlight w:val="lightGray"/>
        </w:rPr>
        <w:t>transparência</w:t>
      </w:r>
      <w:r>
        <w:rPr>
          <w:rFonts w:ascii="Verdana" w:hAnsi="Verdana"/>
          <w:color w:val="222222"/>
          <w:sz w:val="23"/>
          <w:szCs w:val="23"/>
        </w:rPr>
        <w:t xml:space="preserve">, recomenda-se ao Ente registrar na Plataforma +Brasil os dados e </w:t>
      </w:r>
      <w:r w:rsidRPr="00BD73E8">
        <w:rPr>
          <w:rFonts w:ascii="Verdana" w:hAnsi="Verdana"/>
          <w:b/>
          <w:color w:val="222222"/>
          <w:sz w:val="23"/>
          <w:szCs w:val="23"/>
        </w:rPr>
        <w:t>informações referentes à execução dos recursos recebidos, na forma do Decreto 10.035/2019.</w:t>
      </w:r>
    </w:p>
    <w:p w:rsidR="000F0824" w:rsidRDefault="000F0824" w:rsidP="000F08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Outro prazo importante a ser observado é que, até o 20º dia do exercício seguinte, a Plataforma irá disponibilizar aos beneficiários, para registro no módulo Emendas Individuais do </w:t>
      </w:r>
      <w:proofErr w:type="spellStart"/>
      <w:r>
        <w:rPr>
          <w:rFonts w:ascii="Verdana" w:hAnsi="Verdana"/>
          <w:color w:val="222222"/>
          <w:sz w:val="23"/>
          <w:szCs w:val="23"/>
        </w:rPr>
        <w:t>Siop</w:t>
      </w:r>
      <w:proofErr w:type="spellEnd"/>
      <w:r>
        <w:rPr>
          <w:rFonts w:ascii="Verdana" w:hAnsi="Verdana"/>
          <w:color w:val="222222"/>
          <w:sz w:val="23"/>
          <w:szCs w:val="23"/>
        </w:rPr>
        <w:t>, todas as justificativas relativas às emendas individuais que permaneceram com impedimento de ordem técnica.</w:t>
      </w:r>
      <w:bookmarkStart w:id="0" w:name="_GoBack"/>
      <w:bookmarkEnd w:id="0"/>
    </w:p>
    <w:p w:rsidR="000F0824" w:rsidRDefault="000F0824"/>
    <w:sectPr w:rsidR="000F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4"/>
    <w:rsid w:val="000F0824"/>
    <w:rsid w:val="009D1A7E"/>
    <w:rsid w:val="00B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9C10-6973-47D3-9568-E5D261D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082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082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F08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m.org.br/cms/images/stories/Links/20052020_Perguntas_Respostas.pdf." TargetMode="External"/><Relationship Id="rId5" Type="http://schemas.openxmlformats.org/officeDocument/2006/relationships/hyperlink" Target="https://www.cnm.org.br/cms/images/stories/Links/20052020_Perguntas_Respostas.pdf" TargetMode="External"/><Relationship Id="rId4" Type="http://schemas.openxmlformats.org/officeDocument/2006/relationships/hyperlink" Target="http://pesquisa.in.gov.br/imprensa/jsp/visualiza/index.jsp?data=22/06/2020&amp;jornal=515&amp;pagina=19&amp;totalArquivos=18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2022-03-24T18:08:00Z</dcterms:created>
  <dcterms:modified xsi:type="dcterms:W3CDTF">2022-03-24T18:13:00Z</dcterms:modified>
</cp:coreProperties>
</file>